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Zonas de recarga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de recarga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de mayor potencial a recargar los acuíferos someros a través de flujos subterráneos locales, en el territorio correspondiente al Programa de Ordenamiento Ecológico y Territorial Regional Chapala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Representar la recarga de acuíferos en la región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Recarga , acuíferos, región.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11 de diciembre de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Raster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.tiff, .gpkg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RC_OET_REC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629708.9916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797133.9916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2206087.477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2301399.977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332,858.39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Esta capa representa la estimación semicuantitativa de recarga potencial de agua subterránea en la región, útil para análisis hidrológicos regionales. No sustituye estudios de campo o modelaciones detalladas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 ASF Data Search Vertex. (2011). Mapa de pendientes clasificado con base en imágenes satelitales. EARTHDATA. Disponible en: https://vertex-retired.daac.asf.alaska.edu/#</w:t>
              <w:br w:type="textWrapping"/>
              <w:br w:type="textWrapping"/>
              <w:t xml:space="preserve">- CONAGUA. (2020). Atlas de precipitación media anual. Comisión Nacional del Agua. Disponible en: https://smn.conagua.gob.mx/es/climatologia/informacion-climatologica/atlas-de-precipitacion</w:t>
              <w:br w:type="textWrapping"/>
              <w:br w:type="textWrapping"/>
              <w:t xml:space="preserve">- Foster, S., &amp; Hirata, R. (1988). Groundwater pollution risk assessment: A methodological guide. WHO/Pan American Health Organization.</w:t>
              <w:br w:type="textWrapping"/>
              <w:br w:type="textWrapping"/>
              <w:t xml:space="preserve">- Piscopo, G. (2001). Groundwater Vulnerability Mapping Methodology: A simplified approach in data scarce regions. New South Wales Department of Land and Water Conservation.</w:t>
              <w:br w:type="textWrapping"/>
              <w:br w:type="textWrapping"/>
              <w:t xml:space="preserve">- Rizo, A. (2017). Evaluación de la vulnerabilidad a la contaminación de acuíferos mediante la adaptación del método DRASTIC. Tesis de Maestría, Universidad Nacional Autónoma de México.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Se aplicó la metodología de Piscopo (2001) para estimar la recarga neta, integrando tres factores: pendiente, precipitación y permeabilidad del suelo.</w:t>
              <w:br w:type="textWrapping"/>
              <w:br w:type="textWrapping"/>
              <w:t xml:space="preserve">b. La pendiente se generó a partir del Modelo Digital de Elevación (MDE) de la NASA, procesado por la Alaska Satellite Facility, y se reclasificó en rangos de 1 a 4, otorgando mayor valor a pendientes suaves por su mayor capacidad de infiltración (ASF, 2011).</w:t>
              <w:br w:type="textWrapping"/>
              <w:br w:type="textWrapping"/>
              <w:t xml:space="preserve">c. La precipitación se reclasificó en rangos de 1 a 4, utilizando datos de precipitación media anual del Servicio Meteorológico Nacional (CONAGUA, 2020).</w:t>
              <w:br w:type="textWrapping"/>
              <w:br w:type="textWrapping"/>
              <w:t xml:space="preserve">d. La permeabilidad se representó mediante la capa GOD previamente calculada, reclasificada de 1 a 5, considerando mayor vulnerabilidad como indicativo de mayor permeabilidad (Foster &amp; Hirata, 1988).</w:t>
              <w:br w:type="textWrapping"/>
              <w:br w:type="textWrapping"/>
              <w:t xml:space="preserve">e. Las tres capas reclasificadas se sumaron para generar el ráster de recarga potencial.</w:t>
              <w:br w:type="textWrapping"/>
              <w:br w:type="textWrapping"/>
              <w:t xml:space="preserve">f. Se asignó valor de recarga cero en zonas urbanas y cuerpos de agua, al considerar nula la infiltración en estas áreas.</w:t>
              <w:br w:type="textWrapping"/>
              <w:br w:type="textWrapping"/>
              <w:t xml:space="preserve">g. El ráster de recarga se recortó con la capa de acuíferos probables, limitando la estimación de recarga a dichas zonas.</w:t>
              <w:br w:type="textWrapping"/>
              <w:br w:type="textWrapping"/>
              <w:t xml:space="preserve">h. El ráster final se reclasificó en cinco rangos de recarga expresados en milímetros: 50, 77, 141, 216 y 254 mm que se representan en cinco categorías: Muy baja, Baja, Moderada, Alta y Muy Alta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30"/>
        <w:gridCol w:w="2610"/>
        <w:gridCol w:w="2235"/>
        <w:gridCol w:w="2985"/>
        <w:tblGridChange w:id="0">
          <w:tblGrid>
            <w:gridCol w:w="1530"/>
            <w:gridCol w:w="2610"/>
            <w:gridCol w:w="2235"/>
            <w:gridCol w:w="298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VALUE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Recarga relativa del agua subterránea, estimada mediante una metodología semi-cuantitativa basada en el método DRASTIC (Aller et al., 1987) y adaptada por Piscopo (2001). La clasificación considera tres variables: precipitación (Fp), pendiente (Fs) y capacidad de infiltración del suelo (Fsp), generando cinco categorías: Muy Baja, Baja, Moderada, Alta y Muy Alta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Texto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Categoría o clase de potencial de recarga. Se clasifica en cinco rangos: Muy Baja, Baja, Moderada, Alta y Muy Alta. </w:t>
            </w:r>
          </w:p>
        </w:tc>
      </w:tr>
    </w:tbl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7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8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/>
      </w:pPr>
      <w:r w:rsidDel="00000000" w:rsidR="00000000" w:rsidRPr="00000000">
        <w:rPr>
          <w:rtl w:val="0"/>
        </w:rPr>
        <w:t xml:space="preserve">SEMADET (2025). Zonas de recarga [Raster],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B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(2021). Programa de Ordenamiento Ecológico y Territorial Regional de Chapala: Recarga de acuíferos [archivo raster, resolución 20 metros por pixel].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